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862263" cy="4762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Singapore Telecommunications Limited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31, Exeter Road, #24-00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Comcentre,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Singapore 239732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REBRANDING AUTHORIZATION FORM To whom it may concern, With regards to rebranding authorization of ___________________________________ (Company Name), with ____________________________ (Registration Number) and its principal place of business at ___________________________________________________________________________ (Address).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The company’s Board of Director: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Approves the use of Call rebranding and/or SMS rebranding and will ensure that company adheres to regulations presiding over its use.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Will take responsibility for any issues arising from the misuse of the rebranding service.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Job Title (at least Director)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